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112EE" w14:textId="77777777" w:rsidR="00F40E8A" w:rsidRPr="006029F9" w:rsidRDefault="00F40E8A" w:rsidP="00F40E8A">
      <w:pPr>
        <w:spacing w:before="120" w:after="120"/>
        <w:jc w:val="center"/>
        <w:rPr>
          <w:b/>
          <w:noProof/>
          <w:sz w:val="28"/>
        </w:rPr>
      </w:pPr>
      <w:r w:rsidRPr="006029F9">
        <w:rPr>
          <w:b/>
          <w:noProof/>
          <w:sz w:val="28"/>
        </w:rPr>
        <w:t>Annex IV</w:t>
      </w:r>
    </w:p>
    <w:p w14:paraId="2D3006E2" w14:textId="77777777" w:rsidR="00F40E8A" w:rsidRPr="00B13FC8" w:rsidRDefault="00F40E8A" w:rsidP="00F40E8A">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2684DE73" w14:textId="77777777" w:rsidR="00F40E8A" w:rsidRPr="00B13FC8" w:rsidRDefault="00F40E8A" w:rsidP="00F40E8A">
      <w:pPr>
        <w:spacing w:before="120" w:after="120"/>
        <w:rPr>
          <w:rFonts w:eastAsia="SimSun"/>
          <w:noProof/>
          <w:szCs w:val="24"/>
          <w:lang w:eastAsia="zh-CN"/>
        </w:rPr>
      </w:pPr>
    </w:p>
    <w:p w14:paraId="5256AD28"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1"/>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2"/>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3"/>
      </w:r>
      <w:r>
        <w:rPr>
          <w:rFonts w:eastAsia="SimSun"/>
          <w:noProof/>
          <w:szCs w:val="24"/>
          <w:lang w:eastAsia="zh-CN"/>
        </w:rPr>
        <w:t>.</w:t>
      </w:r>
    </w:p>
    <w:p w14:paraId="623DA707"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723DAD07" w14:textId="77777777" w:rsidR="00F40E8A" w:rsidRPr="00B13FC8" w:rsidRDefault="00F40E8A" w:rsidP="00F40E8A">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323DE8D"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521DAE8C"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4"/>
      </w:r>
      <w:r w:rsidRPr="00B13FC8">
        <w:rPr>
          <w:rFonts w:eastAsia="SimSun"/>
          <w:noProof/>
          <w:szCs w:val="24"/>
          <w:lang w:eastAsia="zh-CN"/>
        </w:rPr>
        <w:t xml:space="preserve">. </w:t>
      </w:r>
    </w:p>
    <w:p w14:paraId="57BE1D34"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337346C2" w14:textId="77777777" w:rsidR="00F40E8A" w:rsidRPr="006029F9" w:rsidRDefault="00F40E8A" w:rsidP="00AC2AED">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lastRenderedPageBreak/>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686E4569" w14:textId="77777777" w:rsidR="00F40E8A" w:rsidRPr="006029F9" w:rsidRDefault="00F40E8A" w:rsidP="00F40E8A">
      <w:pPr>
        <w:pStyle w:val="ListParagraph"/>
        <w:spacing w:before="120" w:after="120"/>
        <w:ind w:left="360"/>
        <w:rPr>
          <w:rFonts w:eastAsia="SimSun"/>
          <w:noProof/>
          <w:szCs w:val="24"/>
          <w:lang w:val="en-GB" w:eastAsia="zh-CN"/>
        </w:rPr>
      </w:pPr>
    </w:p>
    <w:p w14:paraId="6969AB2D" w14:textId="77777777" w:rsidR="00F40E8A" w:rsidRPr="006029F9" w:rsidRDefault="00F40E8A" w:rsidP="00AC2AED">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5D8DBFB" w14:textId="77777777" w:rsidR="00F40E8A" w:rsidRPr="006029F9" w:rsidRDefault="00F40E8A" w:rsidP="00F40E8A">
      <w:pPr>
        <w:pStyle w:val="ListParagraph"/>
        <w:spacing w:before="120" w:after="120"/>
        <w:ind w:left="360"/>
        <w:rPr>
          <w:rFonts w:eastAsia="SimSun"/>
          <w:noProof/>
          <w:szCs w:val="24"/>
          <w:lang w:val="en-GB" w:eastAsia="zh-CN"/>
        </w:rPr>
      </w:pPr>
    </w:p>
    <w:p w14:paraId="3B7BDE9C" w14:textId="77777777" w:rsidR="00F40E8A" w:rsidRPr="006029F9" w:rsidRDefault="00F40E8A" w:rsidP="00AC2AED">
      <w:pPr>
        <w:pStyle w:val="ListParagraph"/>
        <w:numPr>
          <w:ilvl w:val="0"/>
          <w:numId w:val="34"/>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1A17E9E1" w14:textId="77777777" w:rsidR="00F40E8A" w:rsidRPr="00B13FC8" w:rsidRDefault="00F40E8A" w:rsidP="00F40E8A">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22742319" w14:textId="77777777" w:rsidR="00F40E8A" w:rsidRPr="00B13FC8" w:rsidRDefault="00F40E8A" w:rsidP="00F40E8A">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5C733F10" w14:textId="77777777" w:rsidR="00F40E8A" w:rsidRPr="00B13FC8" w:rsidRDefault="00F40E8A" w:rsidP="00F40E8A">
      <w:pPr>
        <w:spacing w:before="120" w:after="120"/>
        <w:rPr>
          <w:noProof/>
          <w:szCs w:val="24"/>
          <w:lang w:eastAsia="en-GB"/>
        </w:rPr>
      </w:pPr>
      <w:r w:rsidRPr="00B13FC8">
        <w:rPr>
          <w:noProof/>
          <w:szCs w:val="24"/>
          <w:lang w:eastAsia="en-GB"/>
        </w:rPr>
        <w:t>Personal data shall be</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14" w:history="1">
        <w:r w:rsidRPr="006C720A">
          <w:rPr>
            <w:rFonts w:eastAsia="Calibri"/>
            <w:szCs w:val="24"/>
            <w:u w:val="single"/>
          </w:rPr>
          <w:t>(EU) 2018/1725</w:t>
        </w:r>
      </w:hyperlink>
      <w:r w:rsidRPr="00F073FD">
        <w:rPr>
          <w:rFonts w:eastAsia="Calibri"/>
          <w:b/>
          <w:szCs w:val="24"/>
          <w:vertAlign w:val="superscript"/>
        </w:rPr>
        <w:footnoteReference w:id="5"/>
      </w:r>
      <w:r>
        <w:rPr>
          <w:noProof/>
          <w:szCs w:val="24"/>
          <w:lang w:eastAsia="en-GB"/>
        </w:rPr>
        <w:t xml:space="preserve"> and Commission Decision C(2016) 3301</w:t>
      </w:r>
      <w:r w:rsidRPr="00F073FD">
        <w:rPr>
          <w:rFonts w:eastAsia="SimSun"/>
          <w:b/>
          <w:bCs/>
          <w:noProof/>
          <w:szCs w:val="24"/>
          <w:vertAlign w:val="superscript"/>
          <w:lang w:eastAsia="zh-CN"/>
        </w:rPr>
        <w:footnoteReference w:id="6"/>
      </w:r>
      <w:r w:rsidRPr="00B13FC8">
        <w:rPr>
          <w:noProof/>
          <w:szCs w:val="24"/>
          <w:lang w:eastAsia="en-GB"/>
        </w:rPr>
        <w:t>.</w:t>
      </w:r>
    </w:p>
    <w:p w14:paraId="4C471F81" w14:textId="77777777" w:rsidR="00F40E8A" w:rsidRPr="00EA4C04" w:rsidRDefault="00F40E8A" w:rsidP="00F40E8A">
      <w:pPr>
        <w:spacing w:before="120" w:after="120"/>
        <w:jc w:val="left"/>
        <w:rPr>
          <w:rFonts w:eastAsia="SimSun"/>
          <w:b/>
          <w:bCs/>
          <w:noProof/>
          <w:szCs w:val="24"/>
          <w:lang w:val="en-US" w:eastAsia="zh-CN"/>
        </w:rPr>
      </w:pPr>
    </w:p>
    <w:p w14:paraId="5F9077C5" w14:textId="77777777" w:rsidR="00F40E8A" w:rsidRPr="00B13FC8" w:rsidRDefault="00F40E8A" w:rsidP="00F40E8A">
      <w:pPr>
        <w:spacing w:before="120" w:after="120"/>
        <w:jc w:val="left"/>
        <w:rPr>
          <w:rFonts w:ascii="Arial" w:eastAsia="SimSun" w:hAnsi="Arial" w:cs="Arial"/>
          <w:noProof/>
          <w:sz w:val="22"/>
          <w:szCs w:val="22"/>
          <w:lang w:val="en-US" w:eastAsia="zh-CN"/>
        </w:rPr>
      </w:pPr>
      <w:r w:rsidRPr="00B13FC8">
        <w:rPr>
          <w:rFonts w:eastAsia="SimSun"/>
          <w:noProof/>
          <w:szCs w:val="24"/>
          <w:u w:val="single"/>
          <w:lang w:val="en-US" w:eastAsia="zh-CN"/>
        </w:rPr>
        <w:t>Annex</w:t>
      </w:r>
      <w:r w:rsidRPr="00B13FC8">
        <w:rPr>
          <w:rFonts w:eastAsia="SimSun"/>
          <w:noProof/>
          <w:szCs w:val="24"/>
          <w:lang w:val="en-US" w:eastAsia="zh-CN"/>
        </w:rPr>
        <w:t>: privacy statement</w:t>
      </w:r>
    </w:p>
    <w:p w14:paraId="444FAD96" w14:textId="77777777" w:rsidR="00F40E8A" w:rsidRPr="00F45827" w:rsidRDefault="00F40E8A" w:rsidP="00F40E8A">
      <w:pPr>
        <w:spacing w:before="120" w:after="120"/>
        <w:rPr>
          <w:lang w:val="en-US"/>
        </w:rPr>
      </w:pPr>
    </w:p>
    <w:p w14:paraId="3FC33859" w14:textId="77777777" w:rsidR="00F40E8A" w:rsidRPr="006029F9" w:rsidRDefault="00F40E8A" w:rsidP="00F40E8A">
      <w:pPr>
        <w:spacing w:after="0"/>
        <w:jc w:val="left"/>
        <w:rPr>
          <w:noProof/>
          <w:lang w:val="en-US"/>
        </w:rPr>
      </w:pPr>
    </w:p>
    <w:p w14:paraId="066E2BB8" w14:textId="45E4D629" w:rsidR="00F40E8A" w:rsidRPr="00F40E8A" w:rsidRDefault="00F40E8A" w:rsidP="00F40E8A">
      <w:pPr>
        <w:spacing w:after="0"/>
        <w:jc w:val="left"/>
        <w:rPr>
          <w:noProof/>
        </w:rPr>
      </w:pPr>
      <w:bookmarkStart w:id="0" w:name="_GoBack"/>
      <w:bookmarkEnd w:id="0"/>
    </w:p>
    <w:sectPr w:rsidR="00F40E8A" w:rsidRPr="00F40E8A" w:rsidSect="008A7049">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6EA6" w14:textId="77777777" w:rsidR="006D13D3" w:rsidRDefault="006D13D3" w:rsidP="000941A7">
      <w:pPr>
        <w:spacing w:after="0"/>
      </w:pPr>
      <w:r>
        <w:separator/>
      </w:r>
    </w:p>
  </w:endnote>
  <w:endnote w:type="continuationSeparator" w:id="0">
    <w:p w14:paraId="485B6EA7" w14:textId="77777777" w:rsidR="006D13D3" w:rsidRDefault="006D13D3"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6D13D3" w:rsidRDefault="006D1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7ECA7EB3" w:rsidR="006D13D3" w:rsidRDefault="006D13D3">
    <w:pPr>
      <w:pStyle w:val="Footer"/>
      <w:jc w:val="center"/>
    </w:pPr>
    <w:r>
      <w:fldChar w:fldCharType="begin"/>
    </w:r>
    <w:r>
      <w:instrText>PAGE</w:instrText>
    </w:r>
    <w:r>
      <w:fldChar w:fldCharType="separate"/>
    </w:r>
    <w:r w:rsidR="00F37D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6D13D3" w:rsidRDefault="006D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6EA4" w14:textId="77777777" w:rsidR="006D13D3" w:rsidRDefault="006D13D3" w:rsidP="000941A7">
      <w:pPr>
        <w:spacing w:after="0"/>
      </w:pPr>
      <w:r>
        <w:separator/>
      </w:r>
    </w:p>
  </w:footnote>
  <w:footnote w:type="continuationSeparator" w:id="0">
    <w:p w14:paraId="485B6EA5" w14:textId="77777777" w:rsidR="006D13D3" w:rsidRDefault="006D13D3" w:rsidP="000941A7">
      <w:pPr>
        <w:spacing w:after="0"/>
      </w:pPr>
      <w:r>
        <w:continuationSeparator/>
      </w:r>
    </w:p>
  </w:footnote>
  <w:footnote w:id="1">
    <w:p w14:paraId="51652F55" w14:textId="77777777" w:rsidR="006D13D3" w:rsidRDefault="006D13D3" w:rsidP="00F40E8A">
      <w:pPr>
        <w:pStyle w:val="FootnoteText"/>
        <w:spacing w:after="0"/>
        <w:rPr>
          <w:lang w:val="fr-BE"/>
        </w:rPr>
      </w:pPr>
      <w:r>
        <w:rPr>
          <w:rStyle w:val="FootnoteReference"/>
        </w:rPr>
        <w:footnoteRef/>
      </w:r>
      <w:r>
        <w:rPr>
          <w:lang w:val="fr-BE"/>
        </w:rPr>
        <w:t xml:space="preserve"> </w:t>
      </w:r>
      <w:r>
        <w:rPr>
          <w:lang w:val="fr-BE"/>
        </w:rPr>
        <w:tab/>
        <w:t>C(2016) 3301, Article 2.1.</w:t>
      </w:r>
    </w:p>
  </w:footnote>
  <w:footnote w:id="2">
    <w:p w14:paraId="31D5C3F2" w14:textId="77777777" w:rsidR="006D13D3" w:rsidRDefault="006D13D3" w:rsidP="00F40E8A">
      <w:pPr>
        <w:pStyle w:val="FootnoteText"/>
        <w:spacing w:after="0"/>
        <w:rPr>
          <w:lang w:val="fr-BE"/>
        </w:rPr>
      </w:pPr>
      <w:r>
        <w:rPr>
          <w:rStyle w:val="FootnoteReference"/>
        </w:rPr>
        <w:footnoteRef/>
      </w:r>
      <w:r>
        <w:rPr>
          <w:lang w:val="fr-BE"/>
        </w:rPr>
        <w:t xml:space="preserve"> </w:t>
      </w:r>
      <w:r>
        <w:rPr>
          <w:lang w:val="fr-BE"/>
        </w:rPr>
        <w:tab/>
        <w:t>Idem, Article 3.</w:t>
      </w:r>
    </w:p>
  </w:footnote>
  <w:footnote w:id="3">
    <w:p w14:paraId="70CADC40" w14:textId="77777777" w:rsidR="006D13D3" w:rsidRDefault="006D13D3" w:rsidP="00F40E8A">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4">
    <w:p w14:paraId="31706C13" w14:textId="77777777" w:rsidR="006D13D3" w:rsidRDefault="006D13D3" w:rsidP="00F40E8A">
      <w:pPr>
        <w:pStyle w:val="FootnoteText"/>
        <w:spacing w:after="0"/>
      </w:pPr>
      <w:r>
        <w:rPr>
          <w:rStyle w:val="FootnoteReference"/>
        </w:rPr>
        <w:footnoteRef/>
      </w:r>
      <w:r>
        <w:t xml:space="preserve"> </w:t>
      </w:r>
      <w:r>
        <w:tab/>
        <w:t>Idem, Article 11.</w:t>
      </w:r>
    </w:p>
  </w:footnote>
  <w:footnote w:id="5">
    <w:p w14:paraId="40EEF33D" w14:textId="77777777" w:rsidR="006D13D3" w:rsidRPr="002D4C37" w:rsidRDefault="006D13D3" w:rsidP="00FF2EBB">
      <w:pPr>
        <w:pStyle w:val="FootnoteText"/>
        <w:spacing w:after="0"/>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6">
    <w:p w14:paraId="29F638F0" w14:textId="77777777" w:rsidR="006D13D3" w:rsidRPr="002D4C37" w:rsidRDefault="006D13D3"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6D13D3" w:rsidRDefault="006D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6D13D3" w:rsidRDefault="006D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6D13D3" w:rsidRDefault="006D13D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D4762"/>
    <w:multiLevelType w:val="hybridMultilevel"/>
    <w:tmpl w:val="7214F38C"/>
    <w:name w:val="NumPar22"/>
    <w:lvl w:ilvl="0" w:tplc="0809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5FC"/>
    <w:multiLevelType w:val="hybridMultilevel"/>
    <w:tmpl w:val="202EDB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D53D8D"/>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557395"/>
    <w:multiLevelType w:val="hybridMultilevel"/>
    <w:tmpl w:val="F9DCF546"/>
    <w:name w:val="NumPar2222"/>
    <w:lvl w:ilvl="0" w:tplc="0809000F">
      <w:start w:val="1"/>
      <w:numFmt w:val="decimal"/>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2C0B55B8"/>
    <w:multiLevelType w:val="multilevel"/>
    <w:tmpl w:val="51A80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0"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9445E"/>
    <w:multiLevelType w:val="hybridMultilevel"/>
    <w:tmpl w:val="2462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AF67F5"/>
    <w:multiLevelType w:val="hybridMultilevel"/>
    <w:tmpl w:val="C2EED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40A7EF2"/>
    <w:multiLevelType w:val="hybridMultilevel"/>
    <w:tmpl w:val="03728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26F71"/>
    <w:multiLevelType w:val="multilevel"/>
    <w:tmpl w:val="CBE258D6"/>
    <w:lvl w:ilvl="0">
      <w:start w:val="1"/>
      <w:numFmt w:val="decimal"/>
      <w:lvlRestart w:val="0"/>
      <w:lvlText w:val="%1."/>
      <w:lvlJc w:val="left"/>
      <w:pPr>
        <w:tabs>
          <w:tab w:val="num" w:pos="1418"/>
        </w:tabs>
        <w:ind w:left="1418"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9CB4670"/>
    <w:multiLevelType w:val="hybridMultilevel"/>
    <w:tmpl w:val="73FE3612"/>
    <w:name w:val="NumPar222"/>
    <w:lvl w:ilvl="0" w:tplc="08090017">
      <w:start w:val="1"/>
      <w:numFmt w:val="lowerLetter"/>
      <w:lvlText w:val="%1)"/>
      <w:lvlJc w:val="left"/>
      <w:pPr>
        <w:ind w:left="720" w:hanging="360"/>
      </w:pPr>
    </w:lvl>
    <w:lvl w:ilvl="1" w:tplc="C780EE70">
      <w:start w:val="1"/>
      <w:numFmt w:val="decimal"/>
      <w:lvlText w:val="%2."/>
      <w:lvlJc w:val="left"/>
      <w:pPr>
        <w:ind w:left="1812" w:hanging="732"/>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8"/>
  </w:num>
  <w:num w:numId="4">
    <w:abstractNumId w:val="31"/>
  </w:num>
  <w:num w:numId="5">
    <w:abstractNumId w:val="21"/>
  </w:num>
  <w:num w:numId="6">
    <w:abstractNumId w:val="15"/>
  </w:num>
  <w:num w:numId="7">
    <w:abstractNumId w:val="7"/>
  </w:num>
  <w:num w:numId="8">
    <w:abstractNumId w:val="6"/>
  </w:num>
  <w:num w:numId="9">
    <w:abstractNumId w:val="38"/>
  </w:num>
  <w:num w:numId="10">
    <w:abstractNumId w:val="40"/>
  </w:num>
  <w:num w:numId="11">
    <w:abstractNumId w:val="39"/>
  </w:num>
  <w:num w:numId="12">
    <w:abstractNumId w:val="41"/>
  </w:num>
  <w:num w:numId="13">
    <w:abstractNumId w:val="10"/>
  </w:num>
  <w:num w:numId="14">
    <w:abstractNumId w:val="22"/>
  </w:num>
  <w:num w:numId="15">
    <w:abstractNumId w:val="24"/>
  </w:num>
  <w:num w:numId="16">
    <w:abstractNumId w:val="23"/>
  </w:num>
  <w:num w:numId="17">
    <w:abstractNumId w:val="2"/>
  </w:num>
  <w:num w:numId="18">
    <w:abstractNumId w:val="25"/>
  </w:num>
  <w:num w:numId="19">
    <w:abstractNumId w:val="16"/>
  </w:num>
  <w:num w:numId="20">
    <w:abstractNumId w:val="19"/>
  </w:num>
  <w:num w:numId="21">
    <w:abstractNumId w:val="36"/>
  </w:num>
  <w:num w:numId="22">
    <w:abstractNumId w:val="46"/>
  </w:num>
  <w:num w:numId="23">
    <w:abstractNumId w:val="3"/>
  </w:num>
  <w:num w:numId="24">
    <w:abstractNumId w:val="12"/>
  </w:num>
  <w:num w:numId="25">
    <w:abstractNumId w:val="29"/>
  </w:num>
  <w:num w:numId="26">
    <w:abstractNumId w:val="33"/>
  </w:num>
  <w:num w:numId="27">
    <w:abstractNumId w:val="34"/>
  </w:num>
  <w:num w:numId="28">
    <w:abstractNumId w:val="4"/>
  </w:num>
  <w:num w:numId="29">
    <w:abstractNumId w:val="30"/>
  </w:num>
  <w:num w:numId="30">
    <w:abstractNumId w:val="43"/>
  </w:num>
  <w:num w:numId="31">
    <w:abstractNumId w:val="8"/>
  </w:num>
  <w:num w:numId="32">
    <w:abstractNumId w:val="32"/>
  </w:num>
  <w:num w:numId="33">
    <w:abstractNumId w:val="17"/>
  </w:num>
  <w:num w:numId="34">
    <w:abstractNumId w:val="18"/>
  </w:num>
  <w:num w:numId="35">
    <w:abstractNumId w:val="5"/>
  </w:num>
  <w:num w:numId="36">
    <w:abstractNumId w:val="45"/>
  </w:num>
  <w:num w:numId="37">
    <w:abstractNumId w:val="13"/>
  </w:num>
  <w:num w:numId="38">
    <w:abstractNumId w:val="35"/>
  </w:num>
  <w:num w:numId="39">
    <w:abstractNumId w:val="4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4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34001"/>
    <w:rsid w:val="00064DCF"/>
    <w:rsid w:val="00085845"/>
    <w:rsid w:val="00092F73"/>
    <w:rsid w:val="000941A7"/>
    <w:rsid w:val="000A6A45"/>
    <w:rsid w:val="000E7308"/>
    <w:rsid w:val="0014185B"/>
    <w:rsid w:val="0014209C"/>
    <w:rsid w:val="00144B5F"/>
    <w:rsid w:val="00152296"/>
    <w:rsid w:val="001A08B0"/>
    <w:rsid w:val="001B6CB1"/>
    <w:rsid w:val="001D7A2F"/>
    <w:rsid w:val="00245DAE"/>
    <w:rsid w:val="00275CD0"/>
    <w:rsid w:val="002870D9"/>
    <w:rsid w:val="00294D4F"/>
    <w:rsid w:val="002A24FF"/>
    <w:rsid w:val="002B035E"/>
    <w:rsid w:val="002C7FF5"/>
    <w:rsid w:val="002D7616"/>
    <w:rsid w:val="003228CA"/>
    <w:rsid w:val="00334821"/>
    <w:rsid w:val="003557A1"/>
    <w:rsid w:val="003863C6"/>
    <w:rsid w:val="00391DD1"/>
    <w:rsid w:val="00392376"/>
    <w:rsid w:val="003A5D8C"/>
    <w:rsid w:val="00463706"/>
    <w:rsid w:val="0046386B"/>
    <w:rsid w:val="00465CA3"/>
    <w:rsid w:val="004A57C9"/>
    <w:rsid w:val="004B4D43"/>
    <w:rsid w:val="004B6CEF"/>
    <w:rsid w:val="004C0B97"/>
    <w:rsid w:val="00501AA2"/>
    <w:rsid w:val="005124C6"/>
    <w:rsid w:val="00512A99"/>
    <w:rsid w:val="00564C54"/>
    <w:rsid w:val="005B1230"/>
    <w:rsid w:val="005B1B25"/>
    <w:rsid w:val="006058C2"/>
    <w:rsid w:val="00611864"/>
    <w:rsid w:val="00611EEF"/>
    <w:rsid w:val="006154EE"/>
    <w:rsid w:val="00622E6D"/>
    <w:rsid w:val="006266C4"/>
    <w:rsid w:val="00634D38"/>
    <w:rsid w:val="00661903"/>
    <w:rsid w:val="00663396"/>
    <w:rsid w:val="00670B29"/>
    <w:rsid w:val="006933F5"/>
    <w:rsid w:val="00696A75"/>
    <w:rsid w:val="006A5353"/>
    <w:rsid w:val="006C4329"/>
    <w:rsid w:val="006D13D3"/>
    <w:rsid w:val="006E3078"/>
    <w:rsid w:val="006F4C1B"/>
    <w:rsid w:val="00713FCF"/>
    <w:rsid w:val="007230E7"/>
    <w:rsid w:val="0072535C"/>
    <w:rsid w:val="00734887"/>
    <w:rsid w:val="00781C11"/>
    <w:rsid w:val="00784600"/>
    <w:rsid w:val="007A3A60"/>
    <w:rsid w:val="00827690"/>
    <w:rsid w:val="008A7049"/>
    <w:rsid w:val="008C3FC0"/>
    <w:rsid w:val="008C61D7"/>
    <w:rsid w:val="008D2532"/>
    <w:rsid w:val="00913CFC"/>
    <w:rsid w:val="00914368"/>
    <w:rsid w:val="009234B6"/>
    <w:rsid w:val="00942AE0"/>
    <w:rsid w:val="009504CD"/>
    <w:rsid w:val="00973ABA"/>
    <w:rsid w:val="00982114"/>
    <w:rsid w:val="009B78D4"/>
    <w:rsid w:val="009C3866"/>
    <w:rsid w:val="009D54E5"/>
    <w:rsid w:val="00A12E57"/>
    <w:rsid w:val="00A67022"/>
    <w:rsid w:val="00A872B3"/>
    <w:rsid w:val="00AC2AED"/>
    <w:rsid w:val="00AC3BB2"/>
    <w:rsid w:val="00AD3381"/>
    <w:rsid w:val="00AD59D0"/>
    <w:rsid w:val="00B1480D"/>
    <w:rsid w:val="00B227E5"/>
    <w:rsid w:val="00B628A1"/>
    <w:rsid w:val="00B82850"/>
    <w:rsid w:val="00B8741A"/>
    <w:rsid w:val="00B92117"/>
    <w:rsid w:val="00BA2F81"/>
    <w:rsid w:val="00BE0C92"/>
    <w:rsid w:val="00C030B0"/>
    <w:rsid w:val="00C121EE"/>
    <w:rsid w:val="00C17997"/>
    <w:rsid w:val="00C43D99"/>
    <w:rsid w:val="00CB1FA1"/>
    <w:rsid w:val="00CE12BB"/>
    <w:rsid w:val="00CF64F1"/>
    <w:rsid w:val="00D05B29"/>
    <w:rsid w:val="00D27789"/>
    <w:rsid w:val="00D318ED"/>
    <w:rsid w:val="00D44006"/>
    <w:rsid w:val="00D84B86"/>
    <w:rsid w:val="00D8586E"/>
    <w:rsid w:val="00DD6C8F"/>
    <w:rsid w:val="00DF5704"/>
    <w:rsid w:val="00E026E6"/>
    <w:rsid w:val="00E5001E"/>
    <w:rsid w:val="00E711C7"/>
    <w:rsid w:val="00E85E79"/>
    <w:rsid w:val="00E91E16"/>
    <w:rsid w:val="00EE646E"/>
    <w:rsid w:val="00F2645F"/>
    <w:rsid w:val="00F37D5C"/>
    <w:rsid w:val="00F40E8A"/>
    <w:rsid w:val="00F53FA9"/>
    <w:rsid w:val="00F677C4"/>
    <w:rsid w:val="00F73EAE"/>
    <w:rsid w:val="00FC26BB"/>
    <w:rsid w:val="00FC31FF"/>
    <w:rsid w:val="00FD7F83"/>
    <w:rsid w:val="00FF2E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Bullet2">
    <w:name w:val="Bullet 2"/>
    <w:basedOn w:val="Normal"/>
    <w:rsid w:val="009D54E5"/>
    <w:pPr>
      <w:numPr>
        <w:numId w:val="38"/>
      </w:numPr>
      <w:spacing w:before="120" w:after="120"/>
    </w:pPr>
    <w:rPr>
      <w:szCs w:val="24"/>
    </w:rPr>
  </w:style>
  <w:style w:type="paragraph" w:customStyle="1" w:styleId="ManualNumPar1">
    <w:name w:val="Manual NumPar 1"/>
    <w:basedOn w:val="Normal"/>
    <w:next w:val="Normal"/>
    <w:rsid w:val="00622E6D"/>
    <w:pPr>
      <w:spacing w:before="120" w:after="120"/>
      <w:ind w:left="850" w:hanging="850"/>
    </w:pPr>
    <w:rPr>
      <w:szCs w:val="24"/>
    </w:rPr>
  </w:style>
  <w:style w:type="paragraph" w:customStyle="1" w:styleId="Default">
    <w:name w:val="Default"/>
    <w:rsid w:val="00392376"/>
    <w:pPr>
      <w:autoSpaceDE w:val="0"/>
      <w:autoSpaceDN w:val="0"/>
      <w:adjustRightInd w:val="0"/>
    </w:pPr>
    <w:rPr>
      <w:color w:val="000000"/>
      <w:sz w:val="24"/>
      <w:szCs w:val="24"/>
    </w:rPr>
  </w:style>
  <w:style w:type="table" w:styleId="TableGrid">
    <w:name w:val="Table Grid"/>
    <w:basedOn w:val="TableNormal"/>
    <w:uiPriority w:val="59"/>
    <w:rsid w:val="0014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lex.europa.eu/legal-content/EN/TXT/?uri=uriserv:OJ.L_.2018.295.01.0039.01.ENG&amp;toc=OJ:L:2018:295:TOC"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4.6</Version>
    <Date>2019-07-12T10:36:44</Date>
    <Language>EN</Language>
    <Note/>
  </Created>
  <Edited>
    <Version>10.0.41843.0</Version>
    <Date>2021-05-27T12:53:51</Date>
  </Edited>
  <DocumentModel>
    <Id>0b054141-88b1-4efb-8c91-2905cb0bed6c</Id>
    <Name>Note</Name>
  </DocumentModel>
  <DocumentDate/>
  <DocumentVersion/>
  <CompatibilityMode>Eurolook4X</CompatibilityMode>
</EurolookProperties>
</file>

<file path=customXml/item3.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C13B0-AE6C-4FA3-881D-2747A135759C}">
  <ds:schemaRefs/>
</ds:datastoreItem>
</file>

<file path=customXml/itemProps3.xml><?xml version="1.0" encoding="utf-8"?>
<ds:datastoreItem xmlns:ds="http://schemas.openxmlformats.org/officeDocument/2006/customXml" ds:itemID="{E82D0A22-B6D7-434F-BF09-788F15BCF8E8}">
  <ds:schemaRefs/>
</ds:datastoreItem>
</file>

<file path=customXml/itemProps4.xml><?xml version="1.0" encoding="utf-8"?>
<ds:datastoreItem xmlns:ds="http://schemas.openxmlformats.org/officeDocument/2006/customXml" ds:itemID="{B7915C16-37E2-4D57-AB2B-F6A62CFFA99B}">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927095DF-7BD6-4604-88DB-B6927C46108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01EE1DCA-4CA2-4D8A-A263-667BC5A8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774</Words>
  <Characters>3932</Characters>
  <Application>Microsoft Office Word</Application>
  <DocSecurity>0</DocSecurity>
  <PresentationFormat>Microsoft Word 14.0</PresentationFormat>
  <Lines>163</Lines>
  <Paragraphs>174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ALVAREZ FERNANDEZ Andres (RTD)</cp:lastModifiedBy>
  <cp:revision>2</cp:revision>
  <cp:lastPrinted>2021-05-27T08:45:00Z</cp:lastPrinted>
  <dcterms:created xsi:type="dcterms:W3CDTF">2021-05-27T10:53:00Z</dcterms:created>
  <dcterms:modified xsi:type="dcterms:W3CDTF">2021-05-27T10:53:00Z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